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86" w:after="86"/>
        <w:jc w:val="center"/>
        <w:rPr>
          <w:rFonts w:ascii="Arial" w:hAnsi="Arial" w:eastAsia="Arial"/>
          <w:b/>
          <w:color w:val="3872B2"/>
          <w:sz w:val="50"/>
          <w:szCs w:val="50"/>
        </w:rPr>
      </w:pPr>
      <w:r>
        <w:rPr>
          <w:rFonts w:eastAsia="Arial" w:ascii="Arial" w:hAnsi="Arial"/>
          <w:b/>
          <w:color w:val="3872B2"/>
          <w:sz w:val="50"/>
          <w:szCs w:val="50"/>
        </w:rPr>
        <w:t>Marco Azimonti</w:t>
      </w:r>
    </w:p>
    <w:p>
      <w:pPr>
        <w:pStyle w:val="BodyText"/>
        <w:bidi w:val="0"/>
        <w:jc w:val="center"/>
        <w:rPr>
          <w:rFonts w:ascii="Arial" w:hAnsi="Arial" w:eastAsia="Arial"/>
          <w:color w:val="727272"/>
          <w:sz w:val="22"/>
          <w:szCs w:val="22"/>
        </w:rPr>
      </w:pPr>
      <w:r>
        <w:rPr>
          <w:rFonts w:eastAsia="Arial" w:ascii="Arial" w:hAnsi="Arial"/>
          <w:color w:val="727272"/>
          <w:sz w:val="22"/>
          <w:szCs w:val="22"/>
        </w:rPr>
        <w:t xml:space="preserve">info@azimonti.com • https://www.azimonti.com </w:t>
      </w:r>
    </w:p>
    <w:p>
      <w:pPr>
        <w:pStyle w:val="BodyText"/>
        <w:bidi w:val="0"/>
        <w:jc w:val="center"/>
        <w:rPr>
          <w:rFonts w:ascii="Arial" w:hAnsi="Arial" w:eastAsia="Arial"/>
          <w:color w:val="727272"/>
          <w:sz w:val="22"/>
          <w:szCs w:val="22"/>
        </w:rPr>
      </w:pPr>
      <w:r>
        <w:rPr>
          <w:rFonts w:eastAsia="Arial" w:ascii="Arial" w:hAnsi="Arial"/>
          <w:color w:val="727272"/>
          <w:sz w:val="22"/>
          <w:szCs w:val="22"/>
        </w:rPr>
        <w:t xml:space="preserve">https://www.linkedin.com/marcoazimonti • Visa Giapponese: Residenza Permanente </w:t>
      </w:r>
    </w:p>
    <w:p>
      <w:pPr>
        <w:pStyle w:val="BodyText"/>
        <w:bidi w:val="0"/>
        <w:spacing w:before="86" w:after="86"/>
        <w:jc w:val="start"/>
        <w:rPr/>
      </w:pPr>
      <w:r>
        <w:rPr/>
      </w:r>
    </w:p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  <w:t xml:space="preserve">Informazioni </w:t>
      </w:r>
    </w:p>
    <w:p>
      <w:pPr>
        <w:pStyle w:val="BodyText"/>
        <w:bidi w:val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 xml:space="preserve">Senior manager con oltre 15 anni di esperienza nel settore finanziario in vari ruoli Corporate Banking e Investment Banking con specializzazione in derivati su azioni e materie prime, scambio di valuta estera, attività a reddito fisso e servizi bancari per aziende. Gestione delle risorse umane, budget, sviluppo e supporto di applicazioni IT. </w:t>
      </w:r>
    </w:p>
    <w:p>
      <w:pPr>
        <w:pStyle w:val="BodyText"/>
        <w:pBdr>
          <w:bottom w:val="dashSmallGap" w:sz="6" w:space="1" w:color="3872B2"/>
        </w:pBdr>
        <w:bidi w:val="0"/>
        <w:jc w:val="start"/>
        <w:rPr/>
      </w:pPr>
      <w:r>
        <w:rPr>
          <w:rFonts w:eastAsia="Arial" w:ascii="Arial" w:hAnsi="Arial"/>
          <w:b/>
          <w:color w:val="3872B2"/>
          <w:sz w:val="28"/>
          <w:szCs w:val="28"/>
        </w:rPr>
        <w:t>Esperienza</w:t>
      </w:r>
      <w:r>
        <w:rPr/>
        <w:t xml:space="preserve"> </w:t>
      </w:r>
    </w:p>
    <w:p>
      <w:pPr>
        <w:pStyle w:val="BodyText"/>
        <w:pBdr>
          <w:bottom w:val="dashSmallGap" w:sz="6" w:space="1" w:color="3872B2"/>
        </w:pBdr>
        <w:bidi w:val="0"/>
        <w:jc w:val="start"/>
        <w:rPr>
          <w:rFonts w:ascii="Arial" w:hAnsi="Arial" w:eastAsia="Arial"/>
          <w:color w:val="3872B2"/>
          <w:sz w:val="16"/>
          <w:szCs w:val="16"/>
        </w:rPr>
      </w:pPr>
      <w:r>
        <w:rPr>
          <w:rFonts w:eastAsia="Arial" w:ascii="Arial" w:hAnsi="Arial"/>
          <w:b/>
          <w:color w:val="3872B2"/>
          <w:sz w:val="24"/>
          <w:szCs w:val="24"/>
        </w:rPr>
        <w:t>BNP Paribas (2006 - Presente)</w:t>
      </w:r>
      <w:r>
        <w:rPr/>
        <w:t xml:space="preserve"> 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11/2018 - presente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Responsabile amministrazione e sicurezza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di tre dipartimenti: amministrazione, sicurezza e piano di continuità operativa (BCP). 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dell’amministrazione delle strutture e sicurezza fisica e delle persone, del controllo operativo IT permanente e della sicurezza informatica (prevenzione di accessi non autorizzati, utilizzo, cambiamenti, distruzione di informazioni sensibili). 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della risposta in caso di emergenze con pianificazione e monitoraggio del lavoro in sito e remoto, logistica, approvvigionamento e distribuzione di presidi, coordinazione con le Risorse Umane, rapporto alla direzione regionale.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Responsabile per la strategia a lungo termine del portafoglio immobiliare in Giappone.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11/2018 - 06/2020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"Chief of Staff" del Direttore Operativo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Assistenza al Direttore Operativo nelle attività quotidiane.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03/2014 - 06/2020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Responsabile di "Organizzazione e Metodi"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del dipartimento con il compito di facilitare la gestione di programmi e progetti per un’agenda trasversale in risposta a nuove richieste commerciali e delle autorità di regolamentazione, a seconda dei cambiamento di mercato e delle iniziative di riprogettazione; standardizzazione dell’approccio di gestione di progetto per ottimizzare i risultati in collaborazione con i gruppi regionali e globali.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Responsabile del piano di continuità operativa (BCP).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09/2011 - 03/2014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Responsabile di sviluppo IT Tokyo per azioni e derivati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Responsabile sede Tokyo del gruppo assegnato allo sviluppo e al supporto di sistemi informatici per azioni e derivati con finalità di modifica dei sistemi sviluppati in sedi estere per i bisogni specifici del mercato giapponese.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10/2009 - 03/2014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Direttore di Programma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regionale di un portafoglio progetti in Asia relativi alle transazioni elettroniche. Responsabile del budget, allocazione delle risorse, gestione di progetto, controllo qualità, definizione dei criteri e degli indicatori di prestazioni, preparazione del piano di ripristino in caso di disastro (DRP). 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Sviluppo e implementazione di un portale web di trading per clienti istituzionali.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Java, JavaScript, WebLogic, Python, Kerberos, Oracle, MS SQL, Oracle Coherence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10/2009 - 10/2010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Responsabile di sviluppo IT "Pre-trade" per azioni e derivati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globale di tre dipartimenti in carica di sviluppo IT per attività su azioni e derivati (&gt;50 sviluppatori). 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Sviluppo di strumenti per la determinazione dei prezzi: strumenti di analisi e strumenti di calcolo in Excel per prodotti strutturati utilizzati sul trading floor; gestione degli ordini e relativa applicazione del flusso dei prezzi; generazione automatica delle "term sheet", conferme e condizioni definitive.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VBA, Excel, Java, JavaScript, WebLogic, Python, Oracle, MS SQL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09/2007 - 10/2009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Responsabile sede Tokyo per lo sviluppo di sistemi informatici per azioni e derivati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Responsabile in Tokyo del gruppo assegnato allo sviluppo e al supporto di sistemi informatici per azioni e derivati, utilizzando metodologie di sviluppo rapido delle applicazioni (RAD).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06/2006 - 09/2007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Sviluppatore IT Front Office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Sviluppo e supporto di sistemi informatici per azioni e derivati su azione e monitoraggio del rischio di mercato e di liquidità.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VBA, Python, Tcl, Perl</w:t>
            </w:r>
          </w:p>
        </w:tc>
      </w:tr>
    </w:tbl>
    <w:p>
      <w:pPr>
        <w:pStyle w:val="BodyText"/>
        <w:pBdr>
          <w:bottom w:val="dashSmallGap" w:sz="6" w:space="1" w:color="3872B2"/>
        </w:pBdr>
        <w:bidi w:val="0"/>
        <w:jc w:val="start"/>
        <w:rPr>
          <w:rFonts w:ascii="Arial" w:hAnsi="Arial" w:eastAsia="Arial"/>
          <w:color w:val="3872B2"/>
          <w:sz w:val="16"/>
          <w:szCs w:val="16"/>
        </w:rPr>
      </w:pPr>
      <w:r>
        <w:rPr>
          <w:rFonts w:eastAsia="Arial" w:ascii="Arial" w:hAnsi="Arial"/>
          <w:b/>
          <w:color w:val="3872B2"/>
          <w:sz w:val="24"/>
          <w:szCs w:val="24"/>
        </w:rPr>
        <w:t>Cloudstudio (2011 - 2013)</w:t>
      </w:r>
      <w:r>
        <w:rPr/>
        <w:t xml:space="preserve"> 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09/2011 - 06/2013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Fondatore e socio gerente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Sviluppo di applicazioni mobili con un sito web backend. Sviluppo di siti in HTML5 in particolare per smartphones. 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Progettazione e sviluppo di un’applicazione mobile per carte di fedeltà per negozi, sviluppo del piano di crescita e di vendite, dell’applicazione iOS e del backend web, supervisione del team di design dell’interfaccia grafica.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Node.js, Ruby on Rails, MongoDB, Memcached, Redis, Objective-C, JavaScript, CSS</w:t>
            </w:r>
          </w:p>
        </w:tc>
      </w:tr>
    </w:tbl>
    <w:p>
      <w:pPr>
        <w:pStyle w:val="BodyText"/>
        <w:pBdr>
          <w:bottom w:val="dashSmallGap" w:sz="6" w:space="1" w:color="3872B2"/>
        </w:pBdr>
        <w:bidi w:val="0"/>
        <w:jc w:val="start"/>
        <w:rPr>
          <w:rFonts w:ascii="Arial" w:hAnsi="Arial" w:eastAsia="Arial"/>
          <w:color w:val="3872B2"/>
          <w:sz w:val="16"/>
          <w:szCs w:val="16"/>
        </w:rPr>
      </w:pPr>
      <w:r>
        <w:rPr>
          <w:rFonts w:eastAsia="Arial" w:ascii="Arial" w:hAnsi="Arial"/>
          <w:b/>
          <w:color w:val="3872B2"/>
          <w:sz w:val="24"/>
          <w:szCs w:val="24"/>
        </w:rPr>
        <w:t>Murex (2003 - 2006)</w:t>
      </w:r>
      <w:r>
        <w:rPr/>
        <w:t xml:space="preserve"> 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10/2003 - 06/2006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Consulente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Assistenza clienti per sviluppo sulla API "Murex" proprietaria e validazione interna di modelli analitici per tutte le attività (tassi / azioni / mercato dei cambi) e prodotti ibridi. In particolare sviluppo di modelli a tasso breve per i derivati sui tassi di interesse.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C/ C++, STL</w:t>
            </w:r>
          </w:p>
        </w:tc>
      </w:tr>
    </w:tbl>
    <w:p>
      <w:pPr>
        <w:pStyle w:val="BodyText"/>
        <w:pBdr>
          <w:bottom w:val="dashSmallGap" w:sz="6" w:space="1" w:color="3872B2"/>
        </w:pBdr>
        <w:bidi w:val="0"/>
        <w:jc w:val="start"/>
        <w:rPr>
          <w:rFonts w:ascii="Arial" w:hAnsi="Arial" w:eastAsia="Arial"/>
          <w:color w:val="3872B2"/>
          <w:sz w:val="16"/>
          <w:szCs w:val="16"/>
        </w:rPr>
      </w:pPr>
      <w:r>
        <w:rPr>
          <w:rFonts w:eastAsia="Arial" w:ascii="Arial" w:hAnsi="Arial"/>
          <w:b/>
          <w:color w:val="3872B2"/>
          <w:sz w:val="24"/>
          <w:szCs w:val="24"/>
        </w:rPr>
        <w:t>Università di Tokyo — ISAS (2002 - 2003)</w:t>
      </w:r>
      <w:r>
        <w:rPr/>
        <w:t xml:space="preserve"> 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2002 - 2003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Ricercatore Universitario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"Combustione di un propellente Composito HMX". Simulazioni numeriche utilizzando C++ e Fortran.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Fortran, C, C++</w:t>
            </w:r>
          </w:p>
        </w:tc>
      </w:tr>
    </w:tbl>
    <w:p>
      <w:pPr>
        <w:pStyle w:val="BodyText"/>
        <w:pBdr>
          <w:bottom w:val="dashSmallGap" w:sz="6" w:space="1" w:color="3872B2"/>
        </w:pBdr>
        <w:bidi w:val="0"/>
        <w:jc w:val="start"/>
        <w:rPr>
          <w:rFonts w:ascii="Arial" w:hAnsi="Arial" w:eastAsia="Arial"/>
          <w:color w:val="3872B2"/>
          <w:sz w:val="16"/>
          <w:szCs w:val="16"/>
        </w:rPr>
      </w:pPr>
      <w:r>
        <w:rPr>
          <w:rFonts w:eastAsia="Arial" w:ascii="Arial" w:hAnsi="Arial"/>
          <w:b/>
          <w:color w:val="3872B2"/>
          <w:sz w:val="24"/>
          <w:szCs w:val="24"/>
        </w:rPr>
        <w:t>Rolls Royce (2001)</w:t>
      </w:r>
      <w:r>
        <w:rPr/>
        <w:t xml:space="preserve"> 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2001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Industrial Trainee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Collaborazione tra il Politecnico di Milano e Rolls Royce per integrazione alla tesi di laurea. "Studio di nuovi metodi avanzati di misurazione per il calcolo di parametri del flusso 1D stazionario equivalente in un motore aeronautico a reazione".</w:t>
            </w:r>
          </w:p>
        </w:tc>
      </w:tr>
    </w:tbl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  <w:t>Formazione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1997 - 2001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Ingegneria Aerospaziale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Politecnico di Milano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1992 - 1997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Maturità Classica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Liceo Classico Daniele Crespi</w:t>
            </w:r>
          </w:p>
        </w:tc>
      </w:tr>
    </w:tbl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  <w:t>Corsi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 dicembre, 2018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Fondamenti di sostenibilità per gli affari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Istituto di Cambridge per la leadership in sostenibilità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13 maggio,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Meccanica Quantistica per Scienziati e Ingegneri [2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Stanford Online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 luglio,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Ottica Quantistica [2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École Polytechnique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 luglio,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Fisica delle Particelle: Introduzione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Università di Ginevra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13 luglio,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Introduzione ai Dispositivi a Semiconduttore [2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Korea Advanced Institute of Science and Technology (KAIST)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15 luglio,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Introduzione al Processo dei Semiconduttori [2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Korea Advanced Institute of Science and Technology (KAIST)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21 agosto,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Meccanica [4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Politecnico federale di Losanna (EPFL)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 dicembre,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Meccanica Ingegneristica [3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Georgia Institute of Technology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9 agosto,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Dal Big Bang all’Energia Oscura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Università di Tokyo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13 agosto,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L’Universo in Evoluzione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Caltech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8 ottobre,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Intelligenza Artificiale Generativa per Data Scientists [3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IBM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8 ottobre,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Intelligenza Artificiale Generativa per Professionisti della Cybersecurity [3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IBM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9 ottobre,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Intelligenza Artificiale Generativa per Sviluppatori di Software [3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IBM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 ottobre,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IBM Sviluppatore di intelligenza artificiale [10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IBM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 ottobre,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IBM Ingegneria dell’intelligenza artificiale [6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IBM</w:t>
            </w:r>
          </w:p>
        </w:tc>
      </w:tr>
    </w:tbl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  <w:t>Lingue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Inglese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Conoscenza professionale completa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Francese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Conoscenza professionale completa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Italiano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Conoscenza madrelingua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Giapponese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Conoscenza professionale</w:t>
            </w:r>
          </w:p>
        </w:tc>
      </w:tr>
    </w:tbl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  <w:t>Strumenti e tecnologie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Sviluppo di applicazioni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C, C++, Python, Fortran, Matlab, Octave, Git, CMake, Make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Sviluppo Web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HTML, Cascading Style Sheets (CSS), JavaScript, Node.js, MongoDB, REST API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Microsoft Office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Word, Excel, PowerPoint, Outlook, VBA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Linux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Amministrazione di sistema, sicurezza, Bash, Jenkins</w:t>
            </w:r>
          </w:p>
        </w:tc>
      </w:tr>
    </w:tbl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15 maggio, 2003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Caratteristiche catalitiche della decomposizione termica di combustibili HMX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Incontro annuale della Società giapponese di esplosivi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gutter="0" w:header="0" w:top="1440" w:footer="1440" w:bottom="201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ourier New">
    <w:charset w:val="01" w:characterSet="utf-8"/>
    <w:family w:val="modern"/>
    <w:pitch w:val="fixed"/>
  </w:font>
  <w:font w:name="StarSymbol">
    <w:altName w:val="Arial Unicode MS"/>
    <w:charset w:val="01" w:characterSet="utf-8"/>
    <w:family w:val="auto"/>
    <w:pitch w:val="default"/>
  </w:font>
  <w:font w:name="Arial">
    <w:charset w:val="01" w:characterSet="utf-8"/>
    <w:family w:val="swiss"/>
    <w:pitch w:val="variable"/>
  </w:font>
  <w:font w:name="Arial">
    <w:charset w:val="01" w:characterSet="utf-8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  <w:lang w:val="zxx"/>
    </w:rPr>
  </w:style>
  <w:style w:type="character" w:styleId="Highlighted">
    <w:name w:val="Highlighted"/>
    <w:qFormat/>
    <w:rPr>
      <w:shd w:fill="FFFF38" w:val="clear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Hyper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Reference">
    <w:name w:val="footnote reference"/>
    <w:rPr>
      <w:vertAlign w:val="superscript"/>
    </w:rPr>
  </w:style>
  <w:style w:type="character" w:styleId="Definition">
    <w:name w:val="Definition"/>
    <w:qFormat/>
    <w:rPr/>
  </w:style>
  <w:style w:type="character" w:styleId="KeywordTok">
    <w:name w:val="KeywordTok"/>
    <w:qFormat/>
    <w:rPr>
      <w:b/>
      <w:color w:val="007020"/>
    </w:rPr>
  </w:style>
  <w:style w:type="character" w:styleId="DataTypeTok">
    <w:name w:val="DataTypeTok"/>
    <w:qFormat/>
    <w:rPr>
      <w:color w:val="902000"/>
    </w:rPr>
  </w:style>
  <w:style w:type="character" w:styleId="DecValTok">
    <w:name w:val="DecValTok"/>
    <w:qFormat/>
    <w:rPr>
      <w:color w:val="40A070"/>
    </w:rPr>
  </w:style>
  <w:style w:type="character" w:styleId="BaseNTok">
    <w:name w:val="BaseNTok"/>
    <w:qFormat/>
    <w:rPr>
      <w:color w:val="40A070"/>
    </w:rPr>
  </w:style>
  <w:style w:type="character" w:styleId="FloatTok">
    <w:name w:val="FloatTok"/>
    <w:qFormat/>
    <w:rPr>
      <w:color w:val="40A070"/>
    </w:rPr>
  </w:style>
  <w:style w:type="character" w:styleId="ConstantTok">
    <w:name w:val="ConstantTok"/>
    <w:qFormat/>
    <w:rPr>
      <w:color w:val="880000"/>
    </w:rPr>
  </w:style>
  <w:style w:type="character" w:styleId="CharTok">
    <w:name w:val="CharTok"/>
    <w:qFormat/>
    <w:rPr>
      <w:color w:val="4070A0"/>
    </w:rPr>
  </w:style>
  <w:style w:type="character" w:styleId="SpecialCharTok">
    <w:name w:val="SpecialCharTok"/>
    <w:qFormat/>
    <w:rPr>
      <w:color w:val="4070A0"/>
    </w:rPr>
  </w:style>
  <w:style w:type="character" w:styleId="StringTok">
    <w:name w:val="StringTok"/>
    <w:qFormat/>
    <w:rPr>
      <w:color w:val="4070A0"/>
    </w:rPr>
  </w:style>
  <w:style w:type="character" w:styleId="VerbatimStringTok">
    <w:name w:val="VerbatimStringTok"/>
    <w:qFormat/>
    <w:rPr>
      <w:color w:val="4070A0"/>
    </w:rPr>
  </w:style>
  <w:style w:type="character" w:styleId="SpecialStringTok">
    <w:name w:val="SpecialStringTok"/>
    <w:qFormat/>
    <w:rPr>
      <w:color w:val="BB6688"/>
    </w:rPr>
  </w:style>
  <w:style w:type="character" w:styleId="ImportTok">
    <w:name w:val="ImportTok"/>
    <w:qFormat/>
    <w:rPr>
      <w:b/>
      <w:color w:val="008000"/>
    </w:rPr>
  </w:style>
  <w:style w:type="character" w:styleId="CommentTok">
    <w:name w:val="CommentTok"/>
    <w:qFormat/>
    <w:rPr>
      <w:i/>
      <w:color w:val="60A0B0"/>
    </w:rPr>
  </w:style>
  <w:style w:type="character" w:styleId="DocumentationTok">
    <w:name w:val="DocumentationTok"/>
    <w:qFormat/>
    <w:rPr>
      <w:i/>
      <w:color w:val="BA2121"/>
    </w:rPr>
  </w:style>
  <w:style w:type="character" w:styleId="AnnotationTok">
    <w:name w:val="AnnotationTok"/>
    <w:qFormat/>
    <w:rPr>
      <w:b/>
      <w:i/>
      <w:color w:val="60A0B0"/>
    </w:rPr>
  </w:style>
  <w:style w:type="character" w:styleId="CommentVarTok">
    <w:name w:val="CommentVarTok"/>
    <w:qFormat/>
    <w:rPr>
      <w:b/>
      <w:i/>
      <w:color w:val="60A0B0"/>
    </w:rPr>
  </w:style>
  <w:style w:type="character" w:styleId="OtherTok">
    <w:name w:val="OtherTok"/>
    <w:qFormat/>
    <w:rPr>
      <w:color w:val="007020"/>
    </w:rPr>
  </w:style>
  <w:style w:type="character" w:styleId="FunctionTok">
    <w:name w:val="FunctionTok"/>
    <w:qFormat/>
    <w:rPr>
      <w:color w:val="06287E"/>
    </w:rPr>
  </w:style>
  <w:style w:type="character" w:styleId="VariableTok">
    <w:name w:val="VariableTok"/>
    <w:qFormat/>
    <w:rPr>
      <w:color w:val="19177C"/>
    </w:rPr>
  </w:style>
  <w:style w:type="character" w:styleId="ControlFlowTok">
    <w:name w:val="ControlFlowTok"/>
    <w:qFormat/>
    <w:rPr>
      <w:b/>
      <w:color w:val="007020"/>
    </w:rPr>
  </w:style>
  <w:style w:type="character" w:styleId="OperatorTok">
    <w:name w:val="OperatorTok"/>
    <w:qFormat/>
    <w:rPr>
      <w:color w:val="666666"/>
    </w:rPr>
  </w:style>
  <w:style w:type="character" w:styleId="BuiltInTok">
    <w:name w:val="BuiltInTok"/>
    <w:qFormat/>
    <w:rPr>
      <w:color w:val="008000"/>
    </w:rPr>
  </w:style>
  <w:style w:type="character" w:styleId="ExtensionTok">
    <w:name w:val="ExtensionTok"/>
    <w:qFormat/>
    <w:rPr/>
  </w:style>
  <w:style w:type="character" w:styleId="PreprocessorTok">
    <w:name w:val="PreprocessorTok"/>
    <w:qFormat/>
    <w:rPr>
      <w:color w:val="BC7A00"/>
    </w:rPr>
  </w:style>
  <w:style w:type="character" w:styleId="AttributeTok">
    <w:name w:val="AttributeTok"/>
    <w:qFormat/>
    <w:rPr>
      <w:color w:val="7D9029"/>
    </w:rPr>
  </w:style>
  <w:style w:type="character" w:styleId="RegionMarkerTok">
    <w:name w:val="RegionMarkerTok"/>
    <w:qFormat/>
    <w:rPr/>
  </w:style>
  <w:style w:type="character" w:styleId="InformationTok">
    <w:name w:val="InformationTok"/>
    <w:qFormat/>
    <w:rPr>
      <w:b/>
      <w:i/>
      <w:color w:val="60A0B0"/>
    </w:rPr>
  </w:style>
  <w:style w:type="character" w:styleId="WarningTok">
    <w:name w:val="WarningTok"/>
    <w:qFormat/>
    <w:rPr>
      <w:b/>
      <w:i/>
      <w:color w:val="60A0B0"/>
    </w:rPr>
  </w:style>
  <w:style w:type="character" w:styleId="AlertTok">
    <w:name w:val="AlertTok"/>
    <w:qFormat/>
    <w:rPr>
      <w:b/>
      <w:color w:val="FF0000"/>
    </w:rPr>
  </w:style>
  <w:style w:type="character" w:styleId="ErrorTok">
    <w:name w:val="ErrorTok"/>
    <w:qFormat/>
    <w:rPr>
      <w:b/>
      <w:color w:val="FF0000"/>
    </w:rPr>
  </w:style>
  <w:style w:type="character" w:styleId="NormalTok">
    <w:name w:val="NormalTok"/>
    <w:qFormat/>
    <w:rPr/>
  </w:style>
  <w:style w:type="paragraph" w:styleId="Author">
    <w:name w:val="Author"/>
    <w:basedOn w:val="Normal"/>
    <w:qFormat/>
    <w:pPr>
      <w:jc w:val="center"/>
    </w:pPr>
    <w:rPr/>
  </w:style>
  <w:style w:type="paragraph" w:styleId="Date">
    <w:name w:val="Date"/>
    <w:basedOn w:val="Normal"/>
    <w:qFormat/>
    <w:pPr>
      <w:jc w:val="center"/>
    </w:pPr>
    <w:rPr/>
  </w:style>
  <w:style w:type="paragraph" w:styleId="Abstract">
    <w:name w:val="Abstract"/>
    <w:basedOn w:val="Normal"/>
    <w:qFormat/>
    <w:pPr>
      <w:spacing w:before="144" w:after="144"/>
      <w:ind w:hanging="0" w:start="567" w:end="567"/>
    </w:pPr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spacing w:before="86" w:after="86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Caption">
    <w:name w:val="TableCaption"/>
    <w:basedOn w:val="Caption"/>
    <w:qFormat/>
    <w:pPr/>
    <w:rPr/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BlockQuotation">
    <w:name w:val="Block Quotation"/>
    <w:basedOn w:val="Normal"/>
    <w:qFormat/>
    <w:pPr>
      <w:spacing w:before="144" w:after="144"/>
      <w:ind w:hanging="0" w:start="567" w:end="567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  <w:lang w:val="zxx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BodyText"/>
    <w:qFormat/>
    <w:pPr>
      <w:ind w:hanging="0" w:start="720" w:end="0"/>
    </w:pPr>
    <w:rPr/>
  </w:style>
  <w:style w:type="paragraph" w:styleId="TableContents">
    <w:name w:val="Table Contents"/>
    <w:basedOn w:val="Normal"/>
    <w:qFormat/>
    <w:pPr>
      <w:suppressLineNumbers/>
      <w:ind w:hanging="0" w:start="43" w:end="43"/>
    </w:pPr>
    <w:rPr/>
  </w:style>
  <w:style w:type="paragraph" w:styleId="TableHeading">
    <w:name w:val="Table Heading"/>
    <w:basedOn w:val="TableContents"/>
    <w:qFormat/>
    <w:pPr>
      <w:suppressLineNumbers/>
      <w:ind w:hanging="0" w:start="43" w:end="43"/>
      <w:jc w:val="start"/>
    </w:pPr>
    <w:rPr>
      <w:b/>
      <w:bCs/>
    </w:rPr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hanging="0" w:start="720" w:end="0"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BodyText"/>
    <w:next w:val="BodyText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☑"/>
    <w:qFormat/>
  </w:style>
  <w:style w:type="numbering" w:styleId="Bullet3">
    <w:name w:val="Bullet ➢"/>
    <w:qFormat/>
  </w:style>
  <w:style w:type="numbering" w:styleId="Bullet4">
    <w:name w:val="Bullet ✗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LibreOffice/24.8.3.2$MacOSX_X86_64 LibreOffice_project/48a6bac9e7e268aeb4c3483fcf825c94556d9f92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2024-12-21T23:17:40Z</dcterms:created>
  <dc:creator/>
  <dc:description/>
  <cp:keywords/>
  <dc:language>en-US</dc:language>
  <cp:lastModifiedBy/>
  <dcterms:modified xsi:type="dcterms:W3CDTF">2024-12-21T23:17:40Z</dcterms:modified>
  <cp:revision>0</cp:revision>
  <dc:subject/>
  <dc:title>Marco Azimonti - Curriculum Vitæ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rses">
    <vt:lpwstr/>
  </property>
  <property fmtid="{D5CDD505-2E9C-101B-9397-08002B2CF9AE}" pid="3" name="education">
    <vt:lpwstr/>
  </property>
  <property fmtid="{D5CDD505-2E9C-101B-9397-08002B2CF9AE}" pid="4" name="email">
    <vt:lpwstr>info@azimonti.com</vt:lpwstr>
  </property>
  <property fmtid="{D5CDD505-2E9C-101B-9397-08002B2CF9AE}" pid="5" name="experience">
    <vt:lpwstr/>
  </property>
  <property fmtid="{D5CDD505-2E9C-101B-9397-08002B2CF9AE}" pid="6" name="firstname">
    <vt:lpwstr>Marco</vt:lpwstr>
  </property>
  <property fmtid="{D5CDD505-2E9C-101B-9397-08002B2CF9AE}" pid="7" name="homepage">
    <vt:lpwstr>www.azimonti.com</vt:lpwstr>
  </property>
  <property fmtid="{D5CDD505-2E9C-101B-9397-08002B2CF9AE}" pid="8" name="languages">
    <vt:lpwstr/>
  </property>
  <property fmtid="{D5CDD505-2E9C-101B-9397-08002B2CF9AE}" pid="9" name="lastname">
    <vt:lpwstr>Azimonti</vt:lpwstr>
  </property>
  <property fmtid="{D5CDD505-2E9C-101B-9397-08002B2CF9AE}" pid="10" name="linkedin">
    <vt:lpwstr>marcoazimonti</vt:lpwstr>
  </property>
  <property fmtid="{D5CDD505-2E9C-101B-9397-08002B2CF9AE}" pid="11" name="locales">
    <vt:lpwstr/>
  </property>
  <property fmtid="{D5CDD505-2E9C-101B-9397-08002B2CF9AE}" pid="12" name="phone">
    <vt:lpwstr>[nascosto]</vt:lpwstr>
  </property>
  <property fmtid="{D5CDD505-2E9C-101B-9397-08002B2CF9AE}" pid="13" name="phonefull">
    <vt:lpwstr>[nascosto]</vt:lpwstr>
  </property>
  <property fmtid="{D5CDD505-2E9C-101B-9397-08002B2CF9AE}" pid="14" name="publications">
    <vt:lpwstr/>
  </property>
  <property fmtid="{D5CDD505-2E9C-101B-9397-08002B2CF9AE}" pid="15" name="summary">
    <vt:lpwstr>Senior manager con oltre 15 anni di esperienza nel settore finanziario in vari ruoli Corporate Banking e Investment Banking con specializzazione in derivati su azioni e materie prime, scambio di valuta estera, attività a reddito fisso e servizi bancari per aziende. Gestione delle risorse umane, budget, sviluppo e supporto di applicazioni IT.</vt:lpwstr>
  </property>
  <property fmtid="{D5CDD505-2E9C-101B-9397-08002B2CF9AE}" pid="16" name="technologies">
    <vt:lpwstr/>
  </property>
  <property fmtid="{D5CDD505-2E9C-101B-9397-08002B2CF9AE}" pid="17" name="visastatus">
    <vt:lpwstr>Residenza Permanente</vt:lpwstr>
  </property>
</Properties>
</file>